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0000FF"/>
          <w:sz w:val="36"/>
          <w:szCs w:val="36"/>
        </w:rPr>
        <w:t>寿险相对人起诉应准备的材料明细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1.各位原告的身份证复印件（正反面）2份；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2.保险合同原件及复印件2份；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3.保险公司“拒赔（或理赔结果）通知书”原件及复印件2份；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4.投保前后每次住院治疗的“住院病历首页”、“住院记录”、“手术记录”等原件及复印件2份；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5.投保前后历次门诊和住院与案件争议有关的CT、MRI、DR、内窥镜等辅助检查报告单原件及复印件2份；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6.证人证言（如果有）原件及复印件2份（另需证人基本信息）；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7.证人身份证复印件（正反面）2份；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8.律师起草并经当事人核实后签字捺指印的起诉书3份；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9.原告签字捺指印的授权委托书2份；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10.其他与案件有关的材料原件及复印件2份。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</w:t>
      </w:r>
      <w:r>
        <w:rPr>
          <w:rFonts w:hint="eastAsia" w:ascii="宋体" w:hAnsi="宋体"/>
          <w:b/>
          <w:sz w:val="28"/>
          <w:szCs w:val="28"/>
        </w:rPr>
        <w:t>注</w:t>
      </w:r>
      <w:r>
        <w:rPr>
          <w:rFonts w:hint="eastAsia" w:ascii="宋体" w:hAnsi="宋体"/>
          <w:sz w:val="28"/>
          <w:szCs w:val="28"/>
        </w:rPr>
        <w:t>】</w:t>
      </w:r>
      <w:r>
        <w:rPr>
          <w:rFonts w:hint="eastAsia" w:ascii="楷体" w:hAnsi="楷体" w:eastAsia="楷体"/>
          <w:sz w:val="28"/>
          <w:szCs w:val="28"/>
        </w:rPr>
        <w:t>立案时使用的所有材料原件均可在立案审查后自行拿走！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84095"/>
    <w:rsid w:val="19784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2019-06-05T13:40:00Z</dcterms:created>
  <dc:creator>缅钢刀时刻</dc:creator>
  <cp:lastModifiedBy>缅钢刀时刻</cp:lastModifiedBy>
  <dcterms:modified xsi:type="dcterms:W3CDTF">2019-06-05T13:41:10Z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